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59" w:type="dxa"/>
        <w:tblInd w:w="108" w:type="dxa"/>
        <w:tblLook w:val="01E0" w:firstRow="1" w:lastRow="1" w:firstColumn="1" w:lastColumn="1" w:noHBand="0" w:noVBand="0"/>
      </w:tblPr>
      <w:tblGrid>
        <w:gridCol w:w="6379"/>
        <w:gridCol w:w="8080"/>
      </w:tblGrid>
      <w:tr w:rsidR="005F5E94" w:rsidRPr="008828AE" w:rsidTr="00B25801">
        <w:tc>
          <w:tcPr>
            <w:tcW w:w="6379" w:type="dxa"/>
          </w:tcPr>
          <w:p w:rsidR="005F5E94" w:rsidRPr="008828AE" w:rsidRDefault="005F5E94" w:rsidP="00B25801">
            <w:pPr>
              <w:pStyle w:val="Heading1"/>
              <w:jc w:val="center"/>
              <w:rPr>
                <w:rFonts w:ascii="Times New Roman" w:hAnsi="Times New Roman"/>
                <w:b w:val="0"/>
                <w:color w:val="000000" w:themeColor="text1"/>
                <w:sz w:val="26"/>
                <w:szCs w:val="28"/>
              </w:rPr>
            </w:pPr>
            <w:r w:rsidRPr="008828AE">
              <w:rPr>
                <w:rFonts w:ascii="Times New Roman" w:hAnsi="Times New Roman"/>
                <w:b w:val="0"/>
                <w:color w:val="000000" w:themeColor="text1"/>
                <w:sz w:val="26"/>
                <w:szCs w:val="28"/>
              </w:rPr>
              <w:t>UBND TỈNH THÁI NGUYÊN</w:t>
            </w:r>
          </w:p>
          <w:p w:rsidR="005F5E94" w:rsidRPr="008828AE" w:rsidRDefault="005F5E94" w:rsidP="00B25801">
            <w:pPr>
              <w:spacing w:after="120"/>
              <w:jc w:val="center"/>
              <w:rPr>
                <w:color w:val="000000" w:themeColor="text1"/>
              </w:rPr>
            </w:pPr>
            <w:r w:rsidRPr="008828AE">
              <w:rPr>
                <w:noProof/>
                <w:color w:val="000000" w:themeColor="text1"/>
                <w:sz w:val="26"/>
              </w:rPr>
              <mc:AlternateContent>
                <mc:Choice Requires="wps">
                  <w:drawing>
                    <wp:anchor distT="0" distB="0" distL="114300" distR="114300" simplePos="0" relativeHeight="251659264" behindDoc="0" locked="0" layoutInCell="1" allowOverlap="1" wp14:anchorId="23D6F864" wp14:editId="0903D658">
                      <wp:simplePos x="0" y="0"/>
                      <wp:positionH relativeFrom="column">
                        <wp:posOffset>1783080</wp:posOffset>
                      </wp:positionH>
                      <wp:positionV relativeFrom="paragraph">
                        <wp:posOffset>204470</wp:posOffset>
                      </wp:positionV>
                      <wp:extent cx="371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10F1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16.1pt" to="169.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MC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"/>
                  </w:pict>
                </mc:Fallback>
              </mc:AlternateContent>
            </w:r>
            <w:r w:rsidRPr="008828AE">
              <w:rPr>
                <w:b/>
                <w:color w:val="000000" w:themeColor="text1"/>
                <w:sz w:val="26"/>
              </w:rPr>
              <w:t>SỞ NỘI VỤ</w:t>
            </w:r>
          </w:p>
        </w:tc>
        <w:tc>
          <w:tcPr>
            <w:tcW w:w="8080" w:type="dxa"/>
          </w:tcPr>
          <w:p w:rsidR="005F5E94" w:rsidRPr="008828AE" w:rsidRDefault="005F5E94" w:rsidP="00B25801">
            <w:pPr>
              <w:jc w:val="center"/>
              <w:rPr>
                <w:b/>
                <w:color w:val="000000" w:themeColor="text1"/>
                <w:sz w:val="26"/>
                <w:szCs w:val="24"/>
              </w:rPr>
            </w:pPr>
            <w:r w:rsidRPr="008828AE">
              <w:rPr>
                <w:b/>
                <w:color w:val="000000" w:themeColor="text1"/>
                <w:sz w:val="26"/>
                <w:szCs w:val="24"/>
              </w:rPr>
              <w:t>CỘNG HÒA XÃ HỘI CHỦ NGHĨA VIỆT NAM</w:t>
            </w:r>
          </w:p>
          <w:p w:rsidR="005F5E94" w:rsidRPr="008828AE" w:rsidRDefault="005F5E94" w:rsidP="00B25801">
            <w:pPr>
              <w:pStyle w:val="Heading1"/>
              <w:jc w:val="center"/>
              <w:rPr>
                <w:rFonts w:ascii="Times New Roman" w:hAnsi="Times New Roman"/>
                <w:color w:val="000000" w:themeColor="text1"/>
                <w:sz w:val="28"/>
              </w:rPr>
            </w:pPr>
            <w:r w:rsidRPr="008828AE">
              <w:rPr>
                <w:noProof/>
                <w:color w:val="000000" w:themeColor="text1"/>
                <w:sz w:val="28"/>
                <w:lang w:val="fr-FR"/>
              </w:rPr>
              <mc:AlternateContent>
                <mc:Choice Requires="wps">
                  <w:drawing>
                    <wp:anchor distT="0" distB="0" distL="114300" distR="114300" simplePos="0" relativeHeight="251660288" behindDoc="0" locked="0" layoutInCell="1" allowOverlap="1" wp14:anchorId="7342A26A" wp14:editId="5E5DC267">
                      <wp:simplePos x="0" y="0"/>
                      <wp:positionH relativeFrom="column">
                        <wp:posOffset>1457325</wp:posOffset>
                      </wp:positionH>
                      <wp:positionV relativeFrom="paragraph">
                        <wp:posOffset>201295</wp:posOffset>
                      </wp:positionV>
                      <wp:extent cx="1955800" cy="0"/>
                      <wp:effectExtent l="8255" t="6350" r="762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740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15.85pt" to="268.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"/>
                  </w:pict>
                </mc:Fallback>
              </mc:AlternateContent>
            </w:r>
            <w:r w:rsidRPr="008828AE">
              <w:rPr>
                <w:rFonts w:ascii="Times New Roman" w:hAnsi="Times New Roman"/>
                <w:color w:val="000000" w:themeColor="text1"/>
                <w:sz w:val="28"/>
              </w:rPr>
              <w:t>Độc lập – Tự do – Hạnh phúc</w:t>
            </w:r>
          </w:p>
        </w:tc>
      </w:tr>
      <w:tr w:rsidR="005F5E94" w:rsidRPr="008828AE" w:rsidTr="00B25801">
        <w:tc>
          <w:tcPr>
            <w:tcW w:w="6379" w:type="dxa"/>
          </w:tcPr>
          <w:p w:rsidR="005F5E94" w:rsidRPr="008828AE" w:rsidRDefault="005F5E94" w:rsidP="00B25801">
            <w:pPr>
              <w:spacing w:before="120"/>
              <w:jc w:val="center"/>
              <w:rPr>
                <w:color w:val="000000" w:themeColor="text1"/>
                <w:sz w:val="26"/>
                <w:szCs w:val="26"/>
              </w:rPr>
            </w:pPr>
          </w:p>
        </w:tc>
        <w:tc>
          <w:tcPr>
            <w:tcW w:w="8080" w:type="dxa"/>
          </w:tcPr>
          <w:p w:rsidR="005F5E94" w:rsidRPr="008828AE" w:rsidRDefault="005F5E94" w:rsidP="00B25801">
            <w:pPr>
              <w:spacing w:before="120"/>
              <w:jc w:val="center"/>
              <w:rPr>
                <w:i/>
                <w:color w:val="000000" w:themeColor="text1"/>
                <w:sz w:val="26"/>
                <w:szCs w:val="26"/>
              </w:rPr>
            </w:pPr>
            <w:r w:rsidRPr="008828AE">
              <w:rPr>
                <w:i/>
                <w:color w:val="000000" w:themeColor="text1"/>
                <w:sz w:val="26"/>
                <w:szCs w:val="26"/>
              </w:rPr>
              <w:t xml:space="preserve">Thái Nguyên, </w:t>
            </w:r>
            <w:proofErr w:type="gramStart"/>
            <w:r w:rsidRPr="008828AE">
              <w:rPr>
                <w:i/>
                <w:color w:val="000000" w:themeColor="text1"/>
                <w:sz w:val="26"/>
                <w:szCs w:val="26"/>
              </w:rPr>
              <w:t xml:space="preserve">ngày  </w:t>
            </w:r>
            <w:r w:rsidR="00CF079C">
              <w:rPr>
                <w:i/>
                <w:color w:val="000000" w:themeColor="text1"/>
                <w:sz w:val="26"/>
                <w:szCs w:val="26"/>
              </w:rPr>
              <w:t>09</w:t>
            </w:r>
            <w:proofErr w:type="gramEnd"/>
            <w:r w:rsidRPr="008828AE">
              <w:rPr>
                <w:i/>
                <w:color w:val="000000" w:themeColor="text1"/>
                <w:sz w:val="26"/>
                <w:szCs w:val="26"/>
              </w:rPr>
              <w:t xml:space="preserve"> tháng </w:t>
            </w:r>
            <w:r w:rsidR="00CF079C">
              <w:rPr>
                <w:i/>
                <w:color w:val="000000" w:themeColor="text1"/>
                <w:sz w:val="26"/>
                <w:szCs w:val="26"/>
              </w:rPr>
              <w:t>3</w:t>
            </w:r>
            <w:r w:rsidRPr="008828AE">
              <w:rPr>
                <w:i/>
                <w:color w:val="000000" w:themeColor="text1"/>
                <w:sz w:val="26"/>
                <w:szCs w:val="26"/>
              </w:rPr>
              <w:t xml:space="preserve"> năm 202</w:t>
            </w:r>
            <w:r w:rsidR="00CF079C">
              <w:rPr>
                <w:i/>
                <w:color w:val="000000" w:themeColor="text1"/>
                <w:sz w:val="26"/>
                <w:szCs w:val="26"/>
              </w:rPr>
              <w:t>6</w:t>
            </w:r>
          </w:p>
        </w:tc>
      </w:tr>
    </w:tbl>
    <w:p w:rsidR="005F5E94" w:rsidRPr="008828AE" w:rsidRDefault="005F5E94" w:rsidP="005F5E94">
      <w:pPr>
        <w:rPr>
          <w:b/>
          <w:bCs/>
          <w:color w:val="000000" w:themeColor="text1"/>
        </w:rPr>
      </w:pPr>
    </w:p>
    <w:p w:rsidR="005F5E94" w:rsidRPr="008828AE" w:rsidRDefault="005F5E94" w:rsidP="005F5E94">
      <w:pPr>
        <w:jc w:val="center"/>
        <w:rPr>
          <w:b/>
          <w:bCs/>
          <w:color w:val="000000" w:themeColor="text1"/>
        </w:rPr>
      </w:pPr>
      <w:r w:rsidRPr="008828AE">
        <w:rPr>
          <w:b/>
          <w:bCs/>
          <w:color w:val="000000" w:themeColor="text1"/>
        </w:rPr>
        <w:t>BẢN SO SÁNH, THUYẾT MINH NỘI DUNG DỰ THẢO</w:t>
      </w:r>
    </w:p>
    <w:p w:rsidR="005F5E94" w:rsidRPr="005F5E94" w:rsidRDefault="005F5E94" w:rsidP="005F5E94">
      <w:pPr>
        <w:shd w:val="clear" w:color="auto" w:fill="FFFFFF"/>
        <w:spacing w:before="120"/>
        <w:ind w:firstLine="567"/>
        <w:rPr>
          <w:bCs/>
          <w:color w:val="000000" w:themeColor="text1"/>
        </w:rPr>
      </w:pPr>
      <w:r w:rsidRPr="005F5E94">
        <w:rPr>
          <w:rFonts w:eastAsia="Calibri"/>
          <w:color w:val="000000" w:themeColor="text1"/>
          <w:lang w:val="pt-BR"/>
        </w:rPr>
        <w:t>Quyết định</w:t>
      </w:r>
      <w:r w:rsidRPr="005F5E94">
        <w:rPr>
          <w:rFonts w:eastAsia="Calibri"/>
          <w:color w:val="000000" w:themeColor="text1"/>
          <w:lang w:val="pt-BR"/>
        </w:rPr>
        <w:t xml:space="preserve"> </w:t>
      </w:r>
      <w:bookmarkStart w:id="0" w:name="_Hlk223961674"/>
      <w:r w:rsidRPr="005F5E94">
        <w:rPr>
          <w:bCs/>
          <w:color w:val="000000" w:themeColor="text1"/>
        </w:rPr>
        <w:t>sửa đổi, bổ sung một số điều của Quyết định số 09/2025/QĐ-UBND ngày 16/9/2025 của UBND tỉnh ph</w:t>
      </w:r>
      <w:r w:rsidRPr="005F5E94">
        <w:rPr>
          <w:bCs/>
          <w:color w:val="000000" w:themeColor="text1"/>
          <w:lang w:val="vi-VN"/>
        </w:rPr>
        <w:t xml:space="preserve">ân cấp </w:t>
      </w:r>
      <w:r w:rsidRPr="005F5E94">
        <w:rPr>
          <w:bCs/>
          <w:color w:val="000000" w:themeColor="text1"/>
        </w:rPr>
        <w:t xml:space="preserve">thẩm quyền </w:t>
      </w:r>
      <w:r w:rsidRPr="005F5E94">
        <w:rPr>
          <w:bCs/>
          <w:color w:val="000000" w:themeColor="text1"/>
          <w:lang w:val="vi-VN"/>
        </w:rPr>
        <w:t>thực hiện việc cấp, cấp lại, gia hạn, thu hồi giấy phép lao động và giấy xác nhận không thuộc diện cấp giấy phép lao động</w:t>
      </w:r>
      <w:r w:rsidRPr="005F5E94">
        <w:rPr>
          <w:bCs/>
          <w:color w:val="000000" w:themeColor="text1"/>
        </w:rPr>
        <w:t xml:space="preserve"> cho người lao động nước ngoài</w:t>
      </w:r>
      <w:r w:rsidRPr="005F5E94">
        <w:rPr>
          <w:bCs/>
          <w:color w:val="000000" w:themeColor="text1"/>
          <w:lang w:val="vi-VN"/>
        </w:rPr>
        <w:t xml:space="preserve"> trên địa bàn tỉnh </w:t>
      </w:r>
      <w:r w:rsidRPr="005F5E94">
        <w:rPr>
          <w:bCs/>
          <w:color w:val="000000" w:themeColor="text1"/>
        </w:rPr>
        <w:t>Thái Nguyên</w:t>
      </w:r>
    </w:p>
    <w:bookmarkEnd w:id="0"/>
    <w:p w:rsidR="005F5E94" w:rsidRPr="008828AE" w:rsidRDefault="005F5E94" w:rsidP="005F5E94">
      <w:pPr>
        <w:jc w:val="center"/>
        <w:rPr>
          <w:b/>
          <w:bCs/>
          <w:color w:val="000000" w:themeColor="text1"/>
        </w:rPr>
      </w:pPr>
      <w:r>
        <w:rPr>
          <w:rFonts w:eastAsia="Calibri"/>
          <w:color w:val="000000" w:themeColor="text1"/>
          <w:lang w:val="pt-BR"/>
        </w:rPr>
        <w:t xml:space="preserve"> </w:t>
      </w:r>
      <w:r w:rsidRPr="008828AE">
        <w:rPr>
          <w:rFonts w:eastAsia="Calibri"/>
          <w:color w:val="000000" w:themeColor="text1"/>
          <w:lang w:val="pt-BR"/>
        </w:rPr>
        <w:t xml:space="preserve"> </w:t>
      </w:r>
    </w:p>
    <w:tbl>
      <w:tblPr>
        <w:tblW w:w="541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4992"/>
        <w:gridCol w:w="4946"/>
        <w:gridCol w:w="4601"/>
      </w:tblGrid>
      <w:tr w:rsidR="005F5E94" w:rsidRPr="008828AE" w:rsidTr="00B25801">
        <w:trPr>
          <w:trHeight w:val="70"/>
          <w:tblHeader/>
        </w:trPr>
        <w:tc>
          <w:tcPr>
            <w:tcW w:w="260" w:type="pct"/>
            <w:shd w:val="clear" w:color="000000" w:fill="FFFFFF"/>
            <w:noWrap/>
            <w:vAlign w:val="center"/>
            <w:hideMark/>
          </w:tcPr>
          <w:p w:rsidR="005F5E94" w:rsidRPr="008828AE" w:rsidRDefault="005F5E94" w:rsidP="00B25801">
            <w:pPr>
              <w:jc w:val="center"/>
              <w:rPr>
                <w:b/>
                <w:bCs/>
                <w:color w:val="000000" w:themeColor="text1"/>
                <w:sz w:val="26"/>
                <w:szCs w:val="26"/>
              </w:rPr>
            </w:pPr>
            <w:r w:rsidRPr="008828AE">
              <w:rPr>
                <w:b/>
                <w:bCs/>
                <w:color w:val="000000" w:themeColor="text1"/>
                <w:sz w:val="26"/>
                <w:szCs w:val="26"/>
              </w:rPr>
              <w:t>STT</w:t>
            </w:r>
          </w:p>
        </w:tc>
        <w:tc>
          <w:tcPr>
            <w:tcW w:w="1627" w:type="pct"/>
            <w:shd w:val="clear" w:color="000000" w:fill="FFFFFF"/>
            <w:vAlign w:val="center"/>
          </w:tcPr>
          <w:p w:rsidR="005F5E94" w:rsidRPr="008828AE" w:rsidRDefault="005F5E94" w:rsidP="00B25801">
            <w:pPr>
              <w:spacing w:before="120" w:line="320" w:lineRule="exact"/>
              <w:ind w:firstLine="720"/>
              <w:jc w:val="center"/>
              <w:rPr>
                <w:b/>
                <w:bCs/>
                <w:color w:val="000000" w:themeColor="text1"/>
                <w:sz w:val="26"/>
                <w:szCs w:val="26"/>
              </w:rPr>
            </w:pPr>
            <w:r w:rsidRPr="008828AE">
              <w:rPr>
                <w:b/>
                <w:bCs/>
                <w:color w:val="000000" w:themeColor="text1"/>
                <w:sz w:val="26"/>
                <w:szCs w:val="26"/>
              </w:rPr>
              <w:t>QUY PHẠM PHÁP LUẬT HIỆN HÀNH</w:t>
            </w:r>
          </w:p>
          <w:bookmarkStart w:id="1" w:name="tvpllink_nbilipmzhq"/>
          <w:p w:rsidR="005F5E94" w:rsidRDefault="005F5E94" w:rsidP="00B25801">
            <w:pPr>
              <w:spacing w:before="120" w:line="320" w:lineRule="exact"/>
              <w:ind w:firstLine="720"/>
              <w:jc w:val="both"/>
              <w:rPr>
                <w:color w:val="000000" w:themeColor="text1"/>
                <w:lang w:val="vi-VN"/>
              </w:rPr>
            </w:pPr>
            <w:r w:rsidRPr="008828AE">
              <w:rPr>
                <w:iCs/>
                <w:color w:val="000000" w:themeColor="text1"/>
                <w:shd w:val="clear" w:color="auto" w:fill="FFFFFF"/>
              </w:rPr>
              <w:fldChar w:fldCharType="begin"/>
            </w:r>
            <w:r w:rsidRPr="008828AE">
              <w:rPr>
                <w:iCs/>
                <w:color w:val="000000" w:themeColor="text1"/>
                <w:shd w:val="clear" w:color="auto" w:fill="FFFFFF"/>
              </w:rPr>
              <w:instrText>HYPERLINK "https://thuvienphapluat.vn/van-ban/Lao-dong-Tien-luong/Bo-Luat-lao-dong-2019-333670.aspx" \t "_blank"</w:instrText>
            </w:r>
            <w:r w:rsidRPr="008828AE">
              <w:rPr>
                <w:iCs/>
                <w:color w:val="000000" w:themeColor="text1"/>
                <w:shd w:val="clear" w:color="auto" w:fill="FFFFFF"/>
              </w:rPr>
              <w:fldChar w:fldCharType="separate"/>
            </w:r>
            <w:r w:rsidRPr="008828AE">
              <w:rPr>
                <w:rStyle w:val="Hyperlink"/>
                <w:iCs/>
                <w:color w:val="000000" w:themeColor="text1"/>
                <w:u w:val="none"/>
                <w:shd w:val="clear" w:color="auto" w:fill="FFFFFF"/>
              </w:rPr>
              <w:t>Bộ luật Lao động số 45/2019/QH14</w:t>
            </w:r>
            <w:r w:rsidRPr="008828AE">
              <w:rPr>
                <w:iCs/>
                <w:color w:val="000000" w:themeColor="text1"/>
                <w:shd w:val="clear" w:color="auto" w:fill="FFFFFF"/>
              </w:rPr>
              <w:fldChar w:fldCharType="end"/>
            </w:r>
            <w:bookmarkEnd w:id="1"/>
            <w:r w:rsidRPr="008828AE">
              <w:rPr>
                <w:iCs/>
                <w:color w:val="000000" w:themeColor="text1"/>
                <w:shd w:val="clear" w:color="auto" w:fill="FFFFFF"/>
              </w:rPr>
              <w:t xml:space="preserve">; </w:t>
            </w:r>
            <w:r w:rsidRPr="008828AE">
              <w:rPr>
                <w:color w:val="000000" w:themeColor="text1"/>
                <w:lang w:val="vi-VN"/>
              </w:rPr>
              <w:t>Nghị định số 219/2025/NĐ-CP ngày 07 tháng 8 năm 2025 của Chính phủ quy định về người lao động nước ngoài làm việc tại Việt Nam;</w:t>
            </w:r>
          </w:p>
          <w:p w:rsidR="005F5E94" w:rsidRPr="008828AE" w:rsidRDefault="005F5E94" w:rsidP="00B25801">
            <w:pPr>
              <w:spacing w:before="120" w:line="320" w:lineRule="exact"/>
              <w:ind w:firstLine="720"/>
              <w:jc w:val="both"/>
              <w:rPr>
                <w:color w:val="000000" w:themeColor="text1"/>
                <w:lang w:val="vi-VN"/>
              </w:rPr>
            </w:pPr>
            <w:r w:rsidRPr="004B7FEB">
              <w:rPr>
                <w:bCs/>
                <w:color w:val="000000" w:themeColor="text1"/>
              </w:rPr>
              <w:t>Quyết định số 09/2025/QĐ-UBND ngày 16/9/2025 của UBND tỉnh ph</w:t>
            </w:r>
            <w:r w:rsidRPr="004B7FEB">
              <w:rPr>
                <w:bCs/>
                <w:color w:val="000000" w:themeColor="text1"/>
                <w:lang w:val="vi-VN"/>
              </w:rPr>
              <w:t xml:space="preserve">ân cấp </w:t>
            </w:r>
            <w:r w:rsidRPr="004B7FEB">
              <w:rPr>
                <w:bCs/>
                <w:color w:val="000000" w:themeColor="text1"/>
              </w:rPr>
              <w:t xml:space="preserve">thẩm quyền </w:t>
            </w:r>
            <w:r w:rsidRPr="004B7FEB">
              <w:rPr>
                <w:bCs/>
                <w:color w:val="000000" w:themeColor="text1"/>
                <w:lang w:val="vi-VN"/>
              </w:rPr>
              <w:t>thực hiện việc cấp, cấp lại, gia hạn, thu hồi giấy phép lao động và giấy xác nhận không thuộc diện cấp giấy phép lao động</w:t>
            </w:r>
            <w:r w:rsidRPr="004B7FEB">
              <w:rPr>
                <w:bCs/>
                <w:color w:val="000000" w:themeColor="text1"/>
              </w:rPr>
              <w:t xml:space="preserve"> cho người lao động nước ngoài</w:t>
            </w:r>
            <w:r w:rsidRPr="004B7FEB">
              <w:rPr>
                <w:bCs/>
                <w:color w:val="000000" w:themeColor="text1"/>
                <w:lang w:val="vi-VN"/>
              </w:rPr>
              <w:t xml:space="preserve"> trên địa bàn tỉnh </w:t>
            </w:r>
            <w:r w:rsidRPr="004B7FEB">
              <w:rPr>
                <w:bCs/>
                <w:color w:val="000000" w:themeColor="text1"/>
              </w:rPr>
              <w:t>Thái Nguyên</w:t>
            </w:r>
          </w:p>
          <w:p w:rsidR="005F5E94" w:rsidRPr="008828AE" w:rsidRDefault="005F5E94" w:rsidP="00B25801">
            <w:pPr>
              <w:jc w:val="center"/>
              <w:rPr>
                <w:b/>
                <w:bCs/>
                <w:color w:val="000000" w:themeColor="text1"/>
                <w:sz w:val="26"/>
                <w:szCs w:val="26"/>
              </w:rPr>
            </w:pPr>
          </w:p>
        </w:tc>
        <w:tc>
          <w:tcPr>
            <w:tcW w:w="1612" w:type="pct"/>
            <w:shd w:val="clear" w:color="000000" w:fill="FFFFFF"/>
            <w:noWrap/>
            <w:vAlign w:val="center"/>
            <w:hideMark/>
          </w:tcPr>
          <w:p w:rsidR="005F5E94" w:rsidRPr="008828AE" w:rsidRDefault="005F5E94" w:rsidP="00B25801">
            <w:pPr>
              <w:jc w:val="center"/>
              <w:rPr>
                <w:b/>
                <w:bCs/>
                <w:color w:val="000000" w:themeColor="text1"/>
                <w:sz w:val="26"/>
                <w:szCs w:val="26"/>
              </w:rPr>
            </w:pPr>
            <w:r w:rsidRPr="008828AE">
              <w:rPr>
                <w:b/>
                <w:bCs/>
                <w:color w:val="000000" w:themeColor="text1"/>
                <w:sz w:val="26"/>
                <w:szCs w:val="26"/>
              </w:rPr>
              <w:t>DỰ THẢO QUYẾT</w:t>
            </w:r>
            <w:r>
              <w:rPr>
                <w:b/>
                <w:bCs/>
                <w:color w:val="000000" w:themeColor="text1"/>
                <w:sz w:val="26"/>
                <w:szCs w:val="26"/>
              </w:rPr>
              <w:t xml:space="preserve"> ĐỊNH</w:t>
            </w:r>
          </w:p>
        </w:tc>
        <w:tc>
          <w:tcPr>
            <w:tcW w:w="1500" w:type="pct"/>
            <w:shd w:val="clear" w:color="000000" w:fill="FFFFFF"/>
            <w:noWrap/>
            <w:vAlign w:val="center"/>
            <w:hideMark/>
          </w:tcPr>
          <w:p w:rsidR="005F5E94" w:rsidRPr="008828AE" w:rsidRDefault="005F5E94" w:rsidP="00B25801">
            <w:pPr>
              <w:jc w:val="center"/>
              <w:rPr>
                <w:b/>
                <w:bCs/>
                <w:color w:val="000000" w:themeColor="text1"/>
                <w:sz w:val="26"/>
                <w:szCs w:val="26"/>
              </w:rPr>
            </w:pPr>
            <w:r w:rsidRPr="008828AE">
              <w:rPr>
                <w:b/>
                <w:bCs/>
                <w:color w:val="000000" w:themeColor="text1"/>
                <w:sz w:val="26"/>
                <w:szCs w:val="26"/>
              </w:rPr>
              <w:t>THUYẾT MINH</w:t>
            </w:r>
          </w:p>
        </w:tc>
      </w:tr>
      <w:tr w:rsidR="005F5E94" w:rsidRPr="008828AE" w:rsidTr="00B25801">
        <w:tc>
          <w:tcPr>
            <w:tcW w:w="260" w:type="pct"/>
            <w:shd w:val="clear" w:color="000000" w:fill="FFFFFF"/>
            <w:noWrap/>
            <w:vAlign w:val="center"/>
          </w:tcPr>
          <w:p w:rsidR="005F5E94" w:rsidRPr="008828AE" w:rsidRDefault="005F5E94" w:rsidP="00B25801">
            <w:pPr>
              <w:jc w:val="center"/>
              <w:rPr>
                <w:b/>
                <w:bCs/>
                <w:color w:val="000000" w:themeColor="text1"/>
                <w:sz w:val="26"/>
                <w:szCs w:val="26"/>
              </w:rPr>
            </w:pPr>
            <w:r w:rsidRPr="008828AE">
              <w:rPr>
                <w:b/>
                <w:bCs/>
                <w:color w:val="000000" w:themeColor="text1"/>
                <w:sz w:val="26"/>
                <w:szCs w:val="26"/>
              </w:rPr>
              <w:t>1</w:t>
            </w:r>
          </w:p>
        </w:tc>
        <w:tc>
          <w:tcPr>
            <w:tcW w:w="1627" w:type="pct"/>
            <w:shd w:val="clear" w:color="000000" w:fill="FFFFFF"/>
            <w:vAlign w:val="center"/>
          </w:tcPr>
          <w:p w:rsidR="005F5E94" w:rsidRPr="008828AE" w:rsidRDefault="005F5E94" w:rsidP="00B25801">
            <w:pPr>
              <w:jc w:val="both"/>
              <w:rPr>
                <w:b/>
                <w:bCs/>
                <w:color w:val="000000" w:themeColor="text1"/>
                <w:sz w:val="26"/>
                <w:szCs w:val="26"/>
              </w:rPr>
            </w:pPr>
            <w:r w:rsidRPr="008828AE">
              <w:rPr>
                <w:b/>
                <w:bCs/>
                <w:color w:val="000000" w:themeColor="text1"/>
                <w:sz w:val="26"/>
                <w:szCs w:val="26"/>
              </w:rPr>
              <w:t>Điều</w:t>
            </w:r>
            <w:r>
              <w:rPr>
                <w:b/>
                <w:bCs/>
                <w:color w:val="000000" w:themeColor="text1"/>
                <w:sz w:val="26"/>
                <w:szCs w:val="26"/>
              </w:rPr>
              <w:t xml:space="preserve"> 3</w:t>
            </w:r>
            <w:r w:rsidR="00A53832">
              <w:rPr>
                <w:b/>
                <w:bCs/>
                <w:color w:val="000000" w:themeColor="text1"/>
                <w:sz w:val="26"/>
                <w:szCs w:val="26"/>
              </w:rPr>
              <w:t>, Điều 4</w:t>
            </w:r>
          </w:p>
        </w:tc>
        <w:tc>
          <w:tcPr>
            <w:tcW w:w="1612" w:type="pct"/>
            <w:shd w:val="clear" w:color="000000" w:fill="FFFFFF"/>
            <w:noWrap/>
            <w:vAlign w:val="center"/>
          </w:tcPr>
          <w:p w:rsidR="005F5E94" w:rsidRPr="008828AE" w:rsidRDefault="005F5E94" w:rsidP="00B25801">
            <w:pPr>
              <w:jc w:val="both"/>
              <w:rPr>
                <w:b/>
                <w:bCs/>
                <w:color w:val="000000" w:themeColor="text1"/>
                <w:sz w:val="26"/>
                <w:szCs w:val="26"/>
              </w:rPr>
            </w:pPr>
            <w:r w:rsidRPr="008828AE">
              <w:rPr>
                <w:b/>
                <w:bCs/>
                <w:color w:val="000000" w:themeColor="text1"/>
                <w:sz w:val="26"/>
                <w:szCs w:val="26"/>
              </w:rPr>
              <w:t>Điều 1.</w:t>
            </w:r>
            <w:r>
              <w:rPr>
                <w:b/>
                <w:bCs/>
                <w:color w:val="000000" w:themeColor="text1"/>
                <w:sz w:val="26"/>
                <w:szCs w:val="26"/>
              </w:rPr>
              <w:t xml:space="preserve"> </w:t>
            </w:r>
          </w:p>
        </w:tc>
        <w:tc>
          <w:tcPr>
            <w:tcW w:w="1500" w:type="pct"/>
            <w:shd w:val="clear" w:color="000000" w:fill="FFFFFF"/>
            <w:noWrap/>
            <w:vAlign w:val="center"/>
          </w:tcPr>
          <w:p w:rsidR="005F5E94" w:rsidRPr="008828AE" w:rsidRDefault="005F5E94" w:rsidP="00B25801">
            <w:pPr>
              <w:jc w:val="both"/>
              <w:rPr>
                <w:b/>
                <w:bCs/>
                <w:color w:val="000000" w:themeColor="text1"/>
                <w:sz w:val="26"/>
                <w:szCs w:val="26"/>
              </w:rPr>
            </w:pPr>
          </w:p>
        </w:tc>
      </w:tr>
      <w:tr w:rsidR="005F5E94" w:rsidRPr="008828AE" w:rsidTr="00B25801">
        <w:tc>
          <w:tcPr>
            <w:tcW w:w="260" w:type="pct"/>
            <w:shd w:val="clear" w:color="000000" w:fill="FFFFFF"/>
            <w:noWrap/>
            <w:vAlign w:val="center"/>
          </w:tcPr>
          <w:p w:rsidR="005F5E94" w:rsidRPr="008828AE" w:rsidRDefault="005F5E94" w:rsidP="00B25801">
            <w:pPr>
              <w:jc w:val="center"/>
              <w:rPr>
                <w:b/>
                <w:bCs/>
                <w:color w:val="000000" w:themeColor="text1"/>
                <w:sz w:val="26"/>
                <w:szCs w:val="26"/>
              </w:rPr>
            </w:pPr>
          </w:p>
        </w:tc>
        <w:tc>
          <w:tcPr>
            <w:tcW w:w="1627" w:type="pct"/>
            <w:shd w:val="clear" w:color="000000" w:fill="FFFFFF"/>
            <w:vAlign w:val="center"/>
          </w:tcPr>
          <w:p w:rsidR="005F5E94" w:rsidRPr="00947681" w:rsidRDefault="00A53832" w:rsidP="005F5E94">
            <w:pPr>
              <w:spacing w:before="120"/>
              <w:ind w:firstLine="567"/>
              <w:jc w:val="both"/>
              <w:rPr>
                <w:lang w:val="vi-VN"/>
              </w:rPr>
            </w:pPr>
            <w:r w:rsidRPr="00A53832">
              <w:t>Điều 3.</w:t>
            </w:r>
            <w:r w:rsidRPr="00A53832">
              <w:rPr>
                <w:b/>
              </w:rPr>
              <w:t xml:space="preserve"> </w:t>
            </w:r>
            <w:r w:rsidR="005F5E94" w:rsidRPr="00A53832">
              <w:t>P</w:t>
            </w:r>
            <w:r w:rsidR="005F5E94" w:rsidRPr="00A53832">
              <w:rPr>
                <w:rStyle w:val="fontstyle01"/>
                <w:b w:val="0"/>
              </w:rPr>
              <w:t>hân</w:t>
            </w:r>
            <w:r w:rsidR="005F5E94" w:rsidRPr="00814935">
              <w:rPr>
                <w:rStyle w:val="fontstyle01"/>
                <w:b w:val="0"/>
              </w:rPr>
              <w:t xml:space="preserve"> cấp thẩm quyền thực hiện việc cấp, cấp lại, gia hạn, thu hồi giấy phép lao động và giấy xác nhận không </w:t>
            </w:r>
            <w:r w:rsidR="005F5E94" w:rsidRPr="00814935">
              <w:rPr>
                <w:rStyle w:val="fontstyle01"/>
                <w:b w:val="0"/>
              </w:rPr>
              <w:lastRenderedPageBreak/>
              <w:t>thuộc diện cấp giấy phép lao động cho người lao động nước ngoài trên địa bàn tỉnh Thái Nguyên</w:t>
            </w:r>
          </w:p>
          <w:p w:rsidR="005F5E94" w:rsidRPr="00947681" w:rsidRDefault="005F5E94" w:rsidP="005F5E94">
            <w:pPr>
              <w:spacing w:before="120"/>
              <w:ind w:firstLine="567"/>
              <w:jc w:val="both"/>
            </w:pPr>
            <w:r w:rsidRPr="00947681">
              <w:rPr>
                <w:lang w:val="vi-VN"/>
              </w:rPr>
              <w:t xml:space="preserve">Sở Nội vụ </w:t>
            </w:r>
            <w:r w:rsidRPr="00947681">
              <w:t>t</w:t>
            </w:r>
            <w:r w:rsidRPr="00947681">
              <w:rPr>
                <w:lang w:val="vi-VN"/>
              </w:rPr>
              <w:t>hực hiện việc</w:t>
            </w:r>
            <w:r w:rsidRPr="00947681">
              <w:rPr>
                <w:lang w:val="nl-NL"/>
              </w:rPr>
              <w:t xml:space="preserve"> cấp, cấp lại, gia hạn, thu hồi giấy phép lao động và giấy xác nhận không thuộc diện cấp giấy phép lao động </w:t>
            </w:r>
            <w:r w:rsidRPr="00947681">
              <w:rPr>
                <w:lang w:val="vi-VN"/>
              </w:rPr>
              <w:t>theo quy định tại khoản 1 Điều 4 Nghị định số 219</w:t>
            </w:r>
            <w:r w:rsidRPr="00947681">
              <w:rPr>
                <w:lang w:val="nl-NL"/>
              </w:rPr>
              <w:t>/202</w:t>
            </w:r>
            <w:r w:rsidRPr="00947681">
              <w:rPr>
                <w:lang w:val="vi-VN"/>
              </w:rPr>
              <w:t>5/NĐ-CP ngày 07 tháng 8 năm 20</w:t>
            </w:r>
            <w:r w:rsidRPr="00947681">
              <w:rPr>
                <w:lang w:val="nl-NL"/>
              </w:rPr>
              <w:t>2</w:t>
            </w:r>
            <w:r w:rsidRPr="00947681">
              <w:rPr>
                <w:lang w:val="vi-VN"/>
              </w:rPr>
              <w:t>5 của Chính phủ</w:t>
            </w:r>
            <w:r w:rsidRPr="00947681">
              <w:t xml:space="preserve"> </w:t>
            </w:r>
            <w:r w:rsidRPr="00947681">
              <w:rPr>
                <w:color w:val="000000"/>
                <w:shd w:val="clear" w:color="auto" w:fill="FFFFFF"/>
              </w:rPr>
              <w:t>quy định về người lao động nước ngoài làm việc tại Việt Nam.</w:t>
            </w:r>
          </w:p>
          <w:p w:rsidR="00A53832" w:rsidRPr="00947681" w:rsidRDefault="00A53832" w:rsidP="00A53832">
            <w:pPr>
              <w:spacing w:before="120"/>
              <w:ind w:firstLine="567"/>
            </w:pPr>
            <w:r w:rsidRPr="00947681">
              <w:rPr>
                <w:b/>
                <w:bCs/>
              </w:rPr>
              <w:t xml:space="preserve">Điều </w:t>
            </w:r>
            <w:r w:rsidRPr="00947681">
              <w:rPr>
                <w:b/>
                <w:bCs/>
                <w:lang w:val="vi-VN"/>
              </w:rPr>
              <w:t>4</w:t>
            </w:r>
            <w:r w:rsidRPr="00947681">
              <w:rPr>
                <w:b/>
                <w:bCs/>
              </w:rPr>
              <w:t>. Tổ chức thực hiện</w:t>
            </w:r>
          </w:p>
          <w:p w:rsidR="00A53832" w:rsidRPr="00947681" w:rsidRDefault="00A53832" w:rsidP="00A53832">
            <w:pPr>
              <w:spacing w:before="120"/>
              <w:ind w:firstLine="567"/>
              <w:rPr>
                <w:lang w:val="vi-VN"/>
              </w:rPr>
            </w:pPr>
            <w:r w:rsidRPr="00947681">
              <w:lastRenderedPageBreak/>
              <w:t>1. Sở Nội vụ chủ trì, phối hợp với các sở, ban, ngành và</w:t>
            </w:r>
            <w:r>
              <w:t xml:space="preserve"> các cơ quan đơn vị có liên quan</w:t>
            </w:r>
            <w:r w:rsidRPr="00947681">
              <w:t xml:space="preserve"> trong việc thực hiện các nhiệm vụ được phân cấp. Đ</w:t>
            </w:r>
            <w:r w:rsidRPr="00947681">
              <w:rPr>
                <w:lang w:val="vi-VN"/>
              </w:rPr>
              <w:t>ịnh kỳ trước ngày 1</w:t>
            </w:r>
            <w:r w:rsidRPr="00947681">
              <w:t>5</w:t>
            </w:r>
            <w:r w:rsidRPr="00947681">
              <w:rPr>
                <w:lang w:val="vi-VN"/>
              </w:rPr>
              <w:t xml:space="preserve"> tháng 12 hằng năm hoặc đột xuất theo yêu cầu, báo cáo Bộ Nội vụ, </w:t>
            </w:r>
            <w:r w:rsidRPr="00947681">
              <w:t>Uỷ ban nhân dân</w:t>
            </w:r>
            <w:r w:rsidRPr="00947681">
              <w:rPr>
                <w:lang w:val="vi-VN"/>
              </w:rPr>
              <w:t xml:space="preserve"> tỉnh về kết quả thực hiện các nhiệm vụ được phân cấp.</w:t>
            </w:r>
          </w:p>
          <w:p w:rsidR="00A53832" w:rsidRPr="00947681" w:rsidRDefault="00A53832" w:rsidP="00A53832">
            <w:pPr>
              <w:spacing w:before="120"/>
              <w:ind w:firstLine="567"/>
            </w:pPr>
            <w:r w:rsidRPr="00947681">
              <w:t>2. Các cơ quan, đơn vị liên quan có trách nhiệm cung cấp thông tin, hồ sơ, dữ liệu và hỗ trợ Sở Nội vụ trong quá trình thực hiện nhiệm vụ.</w:t>
            </w:r>
          </w:p>
          <w:p w:rsidR="005F5E94" w:rsidRPr="008828AE" w:rsidRDefault="005F5E94" w:rsidP="005F5E94">
            <w:pPr>
              <w:shd w:val="clear" w:color="auto" w:fill="FFFFFF"/>
              <w:jc w:val="both"/>
              <w:rPr>
                <w:color w:val="000000" w:themeColor="text1"/>
                <w:sz w:val="26"/>
                <w:szCs w:val="26"/>
              </w:rPr>
            </w:pPr>
          </w:p>
        </w:tc>
        <w:tc>
          <w:tcPr>
            <w:tcW w:w="1612" w:type="pct"/>
            <w:shd w:val="clear" w:color="000000" w:fill="FFFFFF"/>
            <w:noWrap/>
            <w:vAlign w:val="center"/>
          </w:tcPr>
          <w:p w:rsidR="00A53832" w:rsidRDefault="00A53832" w:rsidP="00CF079C">
            <w:pPr>
              <w:shd w:val="clear" w:color="auto" w:fill="FFFFFF"/>
              <w:spacing w:before="120"/>
              <w:ind w:firstLine="567"/>
              <w:jc w:val="both"/>
              <w:rPr>
                <w:bCs/>
                <w:color w:val="000000" w:themeColor="text1"/>
              </w:rPr>
            </w:pPr>
            <w:r w:rsidRPr="004B7FEB">
              <w:rPr>
                <w:color w:val="000000" w:themeColor="text1"/>
              </w:rPr>
              <w:lastRenderedPageBreak/>
              <w:t xml:space="preserve">Sửa đổi, bổ sung một số điều của </w:t>
            </w:r>
            <w:bookmarkStart w:id="2" w:name="_Hlk223962484"/>
            <w:r w:rsidRPr="004B7FEB">
              <w:rPr>
                <w:bCs/>
                <w:color w:val="000000" w:themeColor="text1"/>
              </w:rPr>
              <w:t>Quyết định số 09/2025/QĐ-UBND ngày 16/9/2025 của UBND tỉnh ph</w:t>
            </w:r>
            <w:r w:rsidRPr="004B7FEB">
              <w:rPr>
                <w:bCs/>
                <w:color w:val="000000" w:themeColor="text1"/>
                <w:lang w:val="vi-VN"/>
              </w:rPr>
              <w:t xml:space="preserve">ân cấp </w:t>
            </w:r>
            <w:r w:rsidRPr="004B7FEB">
              <w:rPr>
                <w:bCs/>
                <w:color w:val="000000" w:themeColor="text1"/>
              </w:rPr>
              <w:t xml:space="preserve">thẩm </w:t>
            </w:r>
            <w:r w:rsidRPr="004B7FEB">
              <w:rPr>
                <w:bCs/>
                <w:color w:val="000000" w:themeColor="text1"/>
              </w:rPr>
              <w:lastRenderedPageBreak/>
              <w:t xml:space="preserve">quyền </w:t>
            </w:r>
            <w:r w:rsidRPr="004B7FEB">
              <w:rPr>
                <w:bCs/>
                <w:color w:val="000000" w:themeColor="text1"/>
                <w:lang w:val="vi-VN"/>
              </w:rPr>
              <w:t>thực hiện việc cấp, cấp lại, gia hạn, thu hồi giấy phép lao động và giấy xác nhận không thuộc diện cấp giấy phép lao động</w:t>
            </w:r>
            <w:r w:rsidRPr="004B7FEB">
              <w:rPr>
                <w:bCs/>
                <w:color w:val="000000" w:themeColor="text1"/>
              </w:rPr>
              <w:t xml:space="preserve"> cho người lao động nước ngoài</w:t>
            </w:r>
            <w:r w:rsidRPr="004B7FEB">
              <w:rPr>
                <w:bCs/>
                <w:color w:val="000000" w:themeColor="text1"/>
                <w:lang w:val="vi-VN"/>
              </w:rPr>
              <w:t xml:space="preserve"> trên địa bàn tỉnh </w:t>
            </w:r>
            <w:r w:rsidRPr="004B7FEB">
              <w:rPr>
                <w:bCs/>
                <w:color w:val="000000" w:themeColor="text1"/>
              </w:rPr>
              <w:t>Thái Nguyên</w:t>
            </w:r>
            <w:bookmarkEnd w:id="2"/>
            <w:r>
              <w:rPr>
                <w:bCs/>
                <w:color w:val="000000" w:themeColor="text1"/>
              </w:rPr>
              <w:t>, như sau:</w:t>
            </w:r>
          </w:p>
          <w:p w:rsidR="00A53832" w:rsidRDefault="00A53832" w:rsidP="00CF079C">
            <w:pPr>
              <w:shd w:val="clear" w:color="auto" w:fill="FFFFFF"/>
              <w:spacing w:before="120"/>
              <w:ind w:firstLine="567"/>
              <w:jc w:val="both"/>
              <w:rPr>
                <w:bCs/>
                <w:color w:val="000000" w:themeColor="text1"/>
              </w:rPr>
            </w:pPr>
            <w:r>
              <w:rPr>
                <w:bCs/>
                <w:color w:val="000000" w:themeColor="text1"/>
              </w:rPr>
              <w:t>1. Sửa đổi, bổ sung Điều 3 như sau:</w:t>
            </w:r>
          </w:p>
          <w:p w:rsidR="00A53832" w:rsidRPr="00A53832" w:rsidRDefault="00A53832" w:rsidP="00CF079C">
            <w:pPr>
              <w:spacing w:before="120"/>
              <w:jc w:val="both"/>
              <w:rPr>
                <w:b/>
                <w:color w:val="000000" w:themeColor="text1"/>
                <w:lang w:val="vi-VN"/>
              </w:rPr>
            </w:pPr>
            <w:r>
              <w:rPr>
                <w:bCs/>
                <w:color w:val="000000" w:themeColor="text1"/>
              </w:rPr>
              <w:t xml:space="preserve">        </w:t>
            </w:r>
            <w:proofErr w:type="gramStart"/>
            <w:r w:rsidRPr="00A53832">
              <w:rPr>
                <w:bCs/>
                <w:color w:val="000000" w:themeColor="text1"/>
              </w:rPr>
              <w:t xml:space="preserve">“ </w:t>
            </w:r>
            <w:r w:rsidRPr="00A53832">
              <w:rPr>
                <w:bCs/>
                <w:color w:val="000000" w:themeColor="text1"/>
                <w:lang w:val="vi-VN"/>
              </w:rPr>
              <w:t>Điều</w:t>
            </w:r>
            <w:proofErr w:type="gramEnd"/>
            <w:r w:rsidRPr="00A53832">
              <w:rPr>
                <w:bCs/>
                <w:color w:val="000000" w:themeColor="text1"/>
                <w:lang w:val="vi-VN"/>
              </w:rPr>
              <w:t xml:space="preserve"> 3. </w:t>
            </w:r>
            <w:r w:rsidRPr="00A53832">
              <w:rPr>
                <w:b/>
                <w:color w:val="000000" w:themeColor="text1"/>
              </w:rPr>
              <w:t>P</w:t>
            </w:r>
            <w:r w:rsidRPr="00A53832">
              <w:rPr>
                <w:rStyle w:val="fontstyle01"/>
                <w:b w:val="0"/>
                <w:color w:val="000000" w:themeColor="text1"/>
              </w:rPr>
              <w:t>hân cấp thẩm quyền thực hiện việc cấp, cấp lại, gia hạn, thu hồi giấy phép lao động và giấy xác nhận không thuộc diện cấp giấy phép lao động cho người lao động nước ngoài trên địa bàn tỉnh Thái Nguyên</w:t>
            </w:r>
          </w:p>
          <w:p w:rsidR="00A53832" w:rsidRDefault="00A53832" w:rsidP="00CF079C">
            <w:pPr>
              <w:spacing w:before="120"/>
              <w:ind w:firstLine="567"/>
              <w:jc w:val="both"/>
              <w:rPr>
                <w:color w:val="000000" w:themeColor="text1"/>
                <w:shd w:val="clear" w:color="auto" w:fill="FFFFFF"/>
              </w:rPr>
            </w:pPr>
            <w:r>
              <w:rPr>
                <w:color w:val="000000" w:themeColor="text1"/>
              </w:rPr>
              <w:lastRenderedPageBreak/>
              <w:t xml:space="preserve">1. </w:t>
            </w:r>
            <w:r w:rsidRPr="00A70AF0">
              <w:rPr>
                <w:color w:val="000000" w:themeColor="text1"/>
                <w:lang w:val="vi-VN"/>
              </w:rPr>
              <w:t xml:space="preserve">Sở Nội vụ </w:t>
            </w:r>
            <w:r w:rsidRPr="00A70AF0">
              <w:rPr>
                <w:color w:val="000000" w:themeColor="text1"/>
              </w:rPr>
              <w:t>t</w:t>
            </w:r>
            <w:r w:rsidRPr="00A70AF0">
              <w:rPr>
                <w:color w:val="000000" w:themeColor="text1"/>
                <w:lang w:val="vi-VN"/>
              </w:rPr>
              <w:t>hực hiện việc</w:t>
            </w:r>
            <w:r w:rsidRPr="00A70AF0">
              <w:rPr>
                <w:color w:val="000000" w:themeColor="text1"/>
                <w:lang w:val="nl-NL"/>
              </w:rPr>
              <w:t xml:space="preserve"> cấp, cấp lại, gia hạn, thu hồi giấy phép lao động và giấy xác nhận không thuộc diện cấp giấy phép lao động </w:t>
            </w:r>
            <w:r w:rsidRPr="00A70AF0">
              <w:rPr>
                <w:color w:val="000000" w:themeColor="text1"/>
                <w:lang w:val="vi-VN"/>
              </w:rPr>
              <w:t>theo quy định tại khoản 1 Điều 4 Nghị định số 219</w:t>
            </w:r>
            <w:r w:rsidRPr="00A70AF0">
              <w:rPr>
                <w:color w:val="000000" w:themeColor="text1"/>
                <w:lang w:val="nl-NL"/>
              </w:rPr>
              <w:t>/202</w:t>
            </w:r>
            <w:r w:rsidRPr="00A70AF0">
              <w:rPr>
                <w:color w:val="000000" w:themeColor="text1"/>
                <w:lang w:val="vi-VN"/>
              </w:rPr>
              <w:t>5/NĐ-CP ngày 07 tháng 8 năm 20</w:t>
            </w:r>
            <w:r w:rsidRPr="00A70AF0">
              <w:rPr>
                <w:color w:val="000000" w:themeColor="text1"/>
                <w:lang w:val="nl-NL"/>
              </w:rPr>
              <w:t>2</w:t>
            </w:r>
            <w:r w:rsidRPr="00A70AF0">
              <w:rPr>
                <w:color w:val="000000" w:themeColor="text1"/>
                <w:lang w:val="vi-VN"/>
              </w:rPr>
              <w:t>5 của Chính phủ</w:t>
            </w:r>
            <w:r w:rsidRPr="00A70AF0">
              <w:rPr>
                <w:color w:val="000000" w:themeColor="text1"/>
              </w:rPr>
              <w:t xml:space="preserve"> </w:t>
            </w:r>
            <w:r w:rsidRPr="00A70AF0">
              <w:rPr>
                <w:color w:val="000000" w:themeColor="text1"/>
                <w:shd w:val="clear" w:color="auto" w:fill="FFFFFF"/>
              </w:rPr>
              <w:t>quy định về người lao động nước ngoài làm việc tại Việt Nam</w:t>
            </w:r>
            <w:r>
              <w:rPr>
                <w:color w:val="000000" w:themeColor="text1"/>
                <w:shd w:val="clear" w:color="auto" w:fill="FFFFFF"/>
              </w:rPr>
              <w:t>, đối với người lao động nước ngoài làm việc cho người sử dụng lao động có trụ sở, chi nhánh, văn phòng đại diện hoặc địa điểm kinh doanh ngoài khu công nghiệp trên địa bàn tỉnh.</w:t>
            </w:r>
          </w:p>
          <w:p w:rsidR="00A53832" w:rsidRPr="000C27C0" w:rsidRDefault="00A53832" w:rsidP="00CF079C">
            <w:pPr>
              <w:spacing w:before="120"/>
              <w:ind w:firstLine="567"/>
              <w:jc w:val="both"/>
              <w:rPr>
                <w:color w:val="000000" w:themeColor="text1"/>
                <w:shd w:val="clear" w:color="auto" w:fill="FFFFFF"/>
              </w:rPr>
            </w:pPr>
            <w:r w:rsidRPr="000C27C0">
              <w:rPr>
                <w:color w:val="000000" w:themeColor="text1"/>
                <w:shd w:val="clear" w:color="auto" w:fill="FFFFFF"/>
              </w:rPr>
              <w:lastRenderedPageBreak/>
              <w:t>Chịu trách nhiệm trước Ủy ban nhân dân tỉnh và trước pháp luật về kết quả thực hiện, tính chính xác, hợp pháp của các quyết định, văn bản do cơ quan ban hành trong phạm vi được phân cấp và theo chức năng nhiệm vụ được giao theo quy định.</w:t>
            </w:r>
          </w:p>
          <w:p w:rsidR="00A53832" w:rsidRPr="000C27C0" w:rsidRDefault="00A53832" w:rsidP="00CF079C">
            <w:pPr>
              <w:spacing w:before="120"/>
              <w:ind w:firstLine="567"/>
              <w:jc w:val="both"/>
              <w:rPr>
                <w:color w:val="000000" w:themeColor="text1"/>
                <w:shd w:val="clear" w:color="auto" w:fill="FFFFFF"/>
              </w:rPr>
            </w:pPr>
            <w:r w:rsidRPr="000C27C0">
              <w:rPr>
                <w:color w:val="000000" w:themeColor="text1"/>
              </w:rPr>
              <w:t>2. Ban Quản lý các khu công nghiệp tỉnh t</w:t>
            </w:r>
            <w:r w:rsidRPr="000C27C0">
              <w:rPr>
                <w:color w:val="000000" w:themeColor="text1"/>
                <w:lang w:val="vi-VN"/>
              </w:rPr>
              <w:t>hực hiện việc</w:t>
            </w:r>
            <w:r w:rsidRPr="000C27C0">
              <w:rPr>
                <w:color w:val="000000" w:themeColor="text1"/>
                <w:lang w:val="nl-NL"/>
              </w:rPr>
              <w:t xml:space="preserve"> cấp, cấp lại, gia hạn, thu hồi giấy phép lao động và giấy xác nhận không thuộc diện cấp giấy phép lao động </w:t>
            </w:r>
            <w:r w:rsidRPr="000C27C0">
              <w:rPr>
                <w:color w:val="000000" w:themeColor="text1"/>
                <w:lang w:val="vi-VN"/>
              </w:rPr>
              <w:t>theo quy định tại khoản 1 Điều 4 Nghị định số 219</w:t>
            </w:r>
            <w:r w:rsidRPr="000C27C0">
              <w:rPr>
                <w:color w:val="000000" w:themeColor="text1"/>
                <w:lang w:val="nl-NL"/>
              </w:rPr>
              <w:t>/202</w:t>
            </w:r>
            <w:r w:rsidRPr="000C27C0">
              <w:rPr>
                <w:color w:val="000000" w:themeColor="text1"/>
                <w:lang w:val="vi-VN"/>
              </w:rPr>
              <w:t>5/NĐ-CP ngày 07 tháng 8 năm 20</w:t>
            </w:r>
            <w:r w:rsidRPr="000C27C0">
              <w:rPr>
                <w:color w:val="000000" w:themeColor="text1"/>
                <w:lang w:val="nl-NL"/>
              </w:rPr>
              <w:t>2</w:t>
            </w:r>
            <w:r w:rsidRPr="000C27C0">
              <w:rPr>
                <w:color w:val="000000" w:themeColor="text1"/>
                <w:lang w:val="vi-VN"/>
              </w:rPr>
              <w:t>5 của Chính phủ</w:t>
            </w:r>
            <w:r w:rsidRPr="000C27C0">
              <w:rPr>
                <w:color w:val="000000" w:themeColor="text1"/>
              </w:rPr>
              <w:t xml:space="preserve"> </w:t>
            </w:r>
            <w:r w:rsidRPr="000C27C0">
              <w:rPr>
                <w:color w:val="000000" w:themeColor="text1"/>
                <w:shd w:val="clear" w:color="auto" w:fill="FFFFFF"/>
              </w:rPr>
              <w:t xml:space="preserve">quy định về người lao </w:t>
            </w:r>
            <w:r w:rsidRPr="000C27C0">
              <w:rPr>
                <w:color w:val="000000" w:themeColor="text1"/>
                <w:shd w:val="clear" w:color="auto" w:fill="FFFFFF"/>
              </w:rPr>
              <w:lastRenderedPageBreak/>
              <w:t>động nước ngoài làm việc tại Việt Nam, đối với người lao động nước ngoài làm việc cho người sử dụng lao động có trụ sở, chi nhánh, văn phòng đại diện hoặc địa điểm kinh doanh trong khu công nghiệp trên địa bàn tỉnh.</w:t>
            </w:r>
          </w:p>
          <w:p w:rsidR="00A53832" w:rsidRPr="000C27C0" w:rsidRDefault="00A53832" w:rsidP="00CF079C">
            <w:pPr>
              <w:spacing w:before="120"/>
              <w:ind w:firstLine="567"/>
              <w:jc w:val="both"/>
              <w:rPr>
                <w:color w:val="000000" w:themeColor="text1"/>
                <w:shd w:val="clear" w:color="auto" w:fill="FFFFFF"/>
              </w:rPr>
            </w:pPr>
            <w:r w:rsidRPr="000C27C0">
              <w:rPr>
                <w:color w:val="000000" w:themeColor="text1"/>
                <w:shd w:val="clear" w:color="auto" w:fill="FFFFFF"/>
              </w:rPr>
              <w:t>Chịu trách nhiệm trước Ủy ban nhân dân tỉnh và trước pháp luật về kết quả thực hiện, tính chính xác, hợp pháp của các quyết định, văn bản do cơ quan ban hành trong phạm vi được phân cấp và theo chức năng nhiệm vụ được giao theo quy định.”</w:t>
            </w:r>
          </w:p>
          <w:p w:rsidR="00A53832" w:rsidRDefault="00A53832" w:rsidP="00CF079C">
            <w:pPr>
              <w:spacing w:before="120"/>
              <w:ind w:firstLine="567"/>
              <w:jc w:val="both"/>
              <w:rPr>
                <w:color w:val="000000" w:themeColor="text1"/>
                <w:shd w:val="clear" w:color="auto" w:fill="FFFFFF"/>
              </w:rPr>
            </w:pPr>
            <w:r>
              <w:rPr>
                <w:color w:val="000000" w:themeColor="text1"/>
                <w:shd w:val="clear" w:color="auto" w:fill="FFFFFF"/>
              </w:rPr>
              <w:t>2. Sửa đổi, bổ sung Điều 4 như sau:</w:t>
            </w:r>
          </w:p>
          <w:p w:rsidR="00A53832" w:rsidRDefault="00A53832" w:rsidP="00CF079C">
            <w:pPr>
              <w:spacing w:before="120"/>
              <w:ind w:firstLine="567"/>
              <w:jc w:val="both"/>
              <w:rPr>
                <w:color w:val="000000" w:themeColor="text1"/>
              </w:rPr>
            </w:pPr>
            <w:proofErr w:type="gramStart"/>
            <w:r>
              <w:rPr>
                <w:color w:val="000000" w:themeColor="text1"/>
                <w:shd w:val="clear" w:color="auto" w:fill="FFFFFF"/>
              </w:rPr>
              <w:lastRenderedPageBreak/>
              <w:t xml:space="preserve">“ </w:t>
            </w:r>
            <w:r w:rsidRPr="00A70AF0">
              <w:rPr>
                <w:color w:val="000000" w:themeColor="text1"/>
              </w:rPr>
              <w:t>1</w:t>
            </w:r>
            <w:proofErr w:type="gramEnd"/>
            <w:r w:rsidRPr="00A70AF0">
              <w:rPr>
                <w:color w:val="000000" w:themeColor="text1"/>
              </w:rPr>
              <w:t>. Sở Nội vụ chủ trì, phối hợp với các sở, ban, ngành và các cơ quan, đơn vị có liên quan trong việc thực hiện các nhiệm vụ được phân cấp. Đ</w:t>
            </w:r>
            <w:r w:rsidRPr="00A70AF0">
              <w:rPr>
                <w:color w:val="000000" w:themeColor="text1"/>
                <w:lang w:val="vi-VN"/>
              </w:rPr>
              <w:t>ịnh kỳ</w:t>
            </w:r>
            <w:r>
              <w:rPr>
                <w:color w:val="000000" w:themeColor="text1"/>
              </w:rPr>
              <w:t xml:space="preserve"> hàng Quý trước ngày 15 của tháng cuối quý,</w:t>
            </w:r>
            <w:r w:rsidRPr="00A70AF0">
              <w:rPr>
                <w:color w:val="000000" w:themeColor="text1"/>
                <w:lang w:val="vi-VN"/>
              </w:rPr>
              <w:t xml:space="preserve"> trước ngày 1</w:t>
            </w:r>
            <w:r w:rsidRPr="00A70AF0">
              <w:rPr>
                <w:color w:val="000000" w:themeColor="text1"/>
              </w:rPr>
              <w:t>5</w:t>
            </w:r>
            <w:r w:rsidRPr="00A70AF0">
              <w:rPr>
                <w:color w:val="000000" w:themeColor="text1"/>
                <w:lang w:val="vi-VN"/>
              </w:rPr>
              <w:t xml:space="preserve"> tháng 12 hằng năm hoặc đột xuất theo yêu cầu, báo cáo Bộ Nội vụ, </w:t>
            </w:r>
            <w:r w:rsidRPr="00A70AF0">
              <w:rPr>
                <w:color w:val="000000" w:themeColor="text1"/>
              </w:rPr>
              <w:t>Uỷ ban nhân dân</w:t>
            </w:r>
            <w:r w:rsidRPr="00A70AF0">
              <w:rPr>
                <w:color w:val="000000" w:themeColor="text1"/>
                <w:lang w:val="vi-VN"/>
              </w:rPr>
              <w:t xml:space="preserve"> tỉnh về kết quả thực hiện các nhiệm vụ được phân cấp.</w:t>
            </w:r>
            <w:r>
              <w:rPr>
                <w:color w:val="000000" w:themeColor="text1"/>
              </w:rPr>
              <w:t xml:space="preserve"> Tham mưu Chủ tịch Uỷ ban nhân dân tỉnh công bố danh mục và quy trình thủ tục hành chính nội bộ liên quan đến nội dung được phân cấp theo quy định hiện hành.</w:t>
            </w:r>
          </w:p>
          <w:p w:rsidR="00A53832" w:rsidRDefault="00A53832" w:rsidP="00CF079C">
            <w:pPr>
              <w:spacing w:before="120"/>
              <w:ind w:firstLine="567"/>
              <w:jc w:val="both"/>
              <w:rPr>
                <w:color w:val="000000" w:themeColor="text1"/>
              </w:rPr>
            </w:pPr>
            <w:r>
              <w:rPr>
                <w:color w:val="000000" w:themeColor="text1"/>
              </w:rPr>
              <w:lastRenderedPageBreak/>
              <w:t xml:space="preserve">2. Ban Quản lý các khu công nghiệp tỉnh tham mưu Chủ tịch UBND tỉnh công bố danh mục và quy trình thủ tục hành chính nội bộ liên quan đến nội dung được phân cấp theo quy định hiện hành. </w:t>
            </w:r>
            <w:r w:rsidRPr="00A70AF0">
              <w:rPr>
                <w:color w:val="000000" w:themeColor="text1"/>
              </w:rPr>
              <w:t>Đ</w:t>
            </w:r>
            <w:r w:rsidRPr="00A70AF0">
              <w:rPr>
                <w:color w:val="000000" w:themeColor="text1"/>
                <w:lang w:val="vi-VN"/>
              </w:rPr>
              <w:t>ịnh kỳ</w:t>
            </w:r>
            <w:r>
              <w:rPr>
                <w:color w:val="000000" w:themeColor="text1"/>
              </w:rPr>
              <w:t xml:space="preserve"> hàng Quý trước ngày 10 của tháng cuối quý,</w:t>
            </w:r>
            <w:r w:rsidRPr="00A70AF0">
              <w:rPr>
                <w:color w:val="000000" w:themeColor="text1"/>
                <w:lang w:val="vi-VN"/>
              </w:rPr>
              <w:t xml:space="preserve"> trước ngày 1</w:t>
            </w:r>
            <w:r>
              <w:rPr>
                <w:color w:val="000000" w:themeColor="text1"/>
              </w:rPr>
              <w:t>0</w:t>
            </w:r>
            <w:r w:rsidRPr="00A70AF0">
              <w:rPr>
                <w:color w:val="000000" w:themeColor="text1"/>
                <w:lang w:val="vi-VN"/>
              </w:rPr>
              <w:t xml:space="preserve"> tháng 12 hằng năm hoặc đột xuất theo yêu cầu, báo cáo</w:t>
            </w:r>
            <w:r>
              <w:rPr>
                <w:color w:val="000000" w:themeColor="text1"/>
              </w:rPr>
              <w:t xml:space="preserve">, </w:t>
            </w:r>
            <w:r w:rsidRPr="00A70AF0">
              <w:rPr>
                <w:color w:val="000000" w:themeColor="text1"/>
              </w:rPr>
              <w:t>Uỷ ban nhân dân</w:t>
            </w:r>
            <w:r w:rsidRPr="00A70AF0">
              <w:rPr>
                <w:color w:val="000000" w:themeColor="text1"/>
                <w:lang w:val="vi-VN"/>
              </w:rPr>
              <w:t xml:space="preserve"> tỉnh</w:t>
            </w:r>
            <w:r>
              <w:rPr>
                <w:color w:val="000000" w:themeColor="text1"/>
              </w:rPr>
              <w:t xml:space="preserve"> (qua Sở Nội vụ) </w:t>
            </w:r>
            <w:r w:rsidRPr="00A70AF0">
              <w:rPr>
                <w:color w:val="000000" w:themeColor="text1"/>
                <w:lang w:val="vi-VN"/>
              </w:rPr>
              <w:t>về kết quả thực hiện các nhiệm vụ được phân cấp.</w:t>
            </w:r>
            <w:r>
              <w:rPr>
                <w:color w:val="000000" w:themeColor="text1"/>
              </w:rPr>
              <w:t xml:space="preserve"> </w:t>
            </w:r>
          </w:p>
          <w:p w:rsidR="00A53832" w:rsidRDefault="00A53832" w:rsidP="00CF079C">
            <w:pPr>
              <w:spacing w:before="120"/>
              <w:ind w:firstLine="567"/>
              <w:jc w:val="both"/>
              <w:rPr>
                <w:color w:val="000000" w:themeColor="text1"/>
              </w:rPr>
            </w:pPr>
            <w:r>
              <w:rPr>
                <w:color w:val="000000" w:themeColor="text1"/>
              </w:rPr>
              <w:t>3</w:t>
            </w:r>
            <w:r w:rsidRPr="00A70AF0">
              <w:rPr>
                <w:color w:val="000000" w:themeColor="text1"/>
              </w:rPr>
              <w:t xml:space="preserve">. Các cơ quan, đơn vị liên quan có trách nhiệm cung cấp thông tin, hồ sơ, dữ </w:t>
            </w:r>
            <w:r w:rsidRPr="00A70AF0">
              <w:rPr>
                <w:color w:val="000000" w:themeColor="text1"/>
              </w:rPr>
              <w:lastRenderedPageBreak/>
              <w:t>liệu và hỗ trợ Sở Nội vụ trong quá trình thực hiện nhiệm vụ.</w:t>
            </w:r>
            <w:r>
              <w:rPr>
                <w:color w:val="000000" w:themeColor="text1"/>
              </w:rPr>
              <w:t>”</w:t>
            </w:r>
          </w:p>
          <w:p w:rsidR="005F5E94" w:rsidRPr="008828AE" w:rsidRDefault="005F5E94" w:rsidP="00B25801">
            <w:pPr>
              <w:shd w:val="clear" w:color="auto" w:fill="FFFFFF"/>
              <w:jc w:val="both"/>
              <w:rPr>
                <w:b/>
                <w:bCs/>
                <w:color w:val="000000" w:themeColor="text1"/>
                <w:sz w:val="26"/>
                <w:szCs w:val="26"/>
              </w:rPr>
            </w:pPr>
          </w:p>
        </w:tc>
        <w:tc>
          <w:tcPr>
            <w:tcW w:w="1500" w:type="pct"/>
            <w:shd w:val="clear" w:color="000000" w:fill="FFFFFF"/>
            <w:noWrap/>
            <w:vAlign w:val="center"/>
          </w:tcPr>
          <w:p w:rsidR="00CF079C" w:rsidRPr="00CF079C" w:rsidRDefault="00CF079C" w:rsidP="00CF079C">
            <w:pPr>
              <w:tabs>
                <w:tab w:val="left" w:pos="0"/>
              </w:tabs>
              <w:spacing w:before="100" w:after="100"/>
              <w:jc w:val="both"/>
              <w:rPr>
                <w:rStyle w:val="fontstyle01"/>
                <w:b w:val="0"/>
                <w:color w:val="000000" w:themeColor="text1"/>
              </w:rPr>
            </w:pPr>
            <w:r>
              <w:rPr>
                <w:color w:val="000000" w:themeColor="text1"/>
              </w:rPr>
              <w:lastRenderedPageBreak/>
              <w:t xml:space="preserve">     Phân cấp,</w:t>
            </w:r>
            <w:bookmarkStart w:id="3" w:name="_GoBack"/>
            <w:bookmarkEnd w:id="3"/>
            <w:r>
              <w:rPr>
                <w:color w:val="000000" w:themeColor="text1"/>
              </w:rPr>
              <w:t xml:space="preserve"> bổ sung cho Ban Quản lý các khu công nghiệp tỉnh </w:t>
            </w:r>
            <w:r w:rsidRPr="00A70AF0">
              <w:rPr>
                <w:color w:val="000000" w:themeColor="text1"/>
              </w:rPr>
              <w:t xml:space="preserve">để tăng tính chuyên môn hóa, phát huy tính chủ </w:t>
            </w:r>
            <w:r w:rsidRPr="00A70AF0">
              <w:rPr>
                <w:color w:val="000000" w:themeColor="text1"/>
              </w:rPr>
              <w:lastRenderedPageBreak/>
              <w:t>động của Sở Nội vụ</w:t>
            </w:r>
            <w:r>
              <w:rPr>
                <w:color w:val="000000" w:themeColor="text1"/>
              </w:rPr>
              <w:t xml:space="preserve"> và Ban Quản lý các khu công nghiệp tỉnh,</w:t>
            </w:r>
            <w:r w:rsidRPr="00A70AF0">
              <w:rPr>
                <w:color w:val="000000" w:themeColor="text1"/>
              </w:rPr>
              <w:t xml:space="preserve"> góp phần nâng cao hiệu quả và tính chặt chẽ trong công tác quản lý nhà nước về người lao động nước ngoài làm việc trên địa bàn tỉnh.</w:t>
            </w:r>
            <w:r>
              <w:rPr>
                <w:color w:val="000000" w:themeColor="text1"/>
              </w:rPr>
              <w:t xml:space="preserve"> </w:t>
            </w:r>
            <w:r w:rsidRPr="00CF079C">
              <w:rPr>
                <w:rStyle w:val="fontstyle01"/>
                <w:b w:val="0"/>
                <w:color w:val="000000" w:themeColor="text1"/>
              </w:rPr>
              <w:t>Đảm bảo thực hiện Kế hoạch số 67/KH-UBND ngày 25/02/2026 của Ủy ban nhân dân tỉnh về kịch bản tăng trưởng kinh tế năm 2026, đảm bảo tăng trưởng hai con số, thuận lợi trong quá trình xúc tiến đầu tư của Bản Quản lý các khu công nghiệp tỉnh, thu hút các nhà đầu tư đến với các khu công nghiệp tỉnh.</w:t>
            </w:r>
          </w:p>
          <w:p w:rsidR="005F5E94" w:rsidRPr="008828AE" w:rsidRDefault="005F5E94" w:rsidP="00B25801">
            <w:pPr>
              <w:jc w:val="both"/>
              <w:rPr>
                <w:b/>
                <w:bCs/>
                <w:color w:val="000000" w:themeColor="text1"/>
                <w:sz w:val="26"/>
                <w:szCs w:val="26"/>
              </w:rPr>
            </w:pPr>
          </w:p>
        </w:tc>
      </w:tr>
    </w:tbl>
    <w:p w:rsidR="005F5E94" w:rsidRPr="008828AE" w:rsidRDefault="005F5E94" w:rsidP="005F5E94">
      <w:pPr>
        <w:jc w:val="both"/>
        <w:rPr>
          <w:color w:val="000000" w:themeColor="text1"/>
          <w:sz w:val="24"/>
          <w:szCs w:val="24"/>
          <w:lang w:val="nl-NL"/>
        </w:rPr>
      </w:pPr>
    </w:p>
    <w:p w:rsidR="005F5E94" w:rsidRPr="008828AE" w:rsidRDefault="005F5E94" w:rsidP="005F5E94">
      <w:pPr>
        <w:rPr>
          <w:color w:val="000000" w:themeColor="text1"/>
        </w:rPr>
      </w:pPr>
    </w:p>
    <w:p w:rsidR="00832DD8" w:rsidRDefault="00832DD8"/>
    <w:sectPr w:rsidR="00832DD8" w:rsidSect="00CF795A">
      <w:headerReference w:type="default" r:id="rId5"/>
      <w:pgSz w:w="16840" w:h="11907" w:orient="landscape" w:code="9"/>
      <w:pgMar w:top="1134" w:right="964" w:bottom="96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72A" w:rsidRDefault="00CF079C" w:rsidP="00DF2BC9">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7FFB"/>
    <w:multiLevelType w:val="multilevel"/>
    <w:tmpl w:val="298F7FFB"/>
    <w:lvl w:ilvl="0">
      <w:start w:val="1"/>
      <w:numFmt w:val="decimal"/>
      <w:suff w:val="space"/>
      <w:lvlText w:val="%1."/>
      <w:lvlJc w:val="left"/>
      <w:pPr>
        <w:ind w:left="7023" w:hanging="360"/>
      </w:pPr>
      <w:rPr>
        <w:rFonts w:hint="default"/>
      </w:rPr>
    </w:lvl>
    <w:lvl w:ilvl="1">
      <w:start w:val="1"/>
      <w:numFmt w:val="decimal"/>
      <w:lvlText w:val="%2."/>
      <w:lvlJc w:val="left"/>
      <w:pPr>
        <w:tabs>
          <w:tab w:val="left" w:pos="7743"/>
        </w:tabs>
        <w:ind w:left="7743" w:hanging="360"/>
      </w:pPr>
      <w:rPr>
        <w:rFonts w:hint="default"/>
      </w:rPr>
    </w:lvl>
    <w:lvl w:ilvl="2">
      <w:start w:val="1"/>
      <w:numFmt w:val="decimal"/>
      <w:lvlText w:val="%3."/>
      <w:lvlJc w:val="left"/>
      <w:pPr>
        <w:tabs>
          <w:tab w:val="left" w:pos="8463"/>
        </w:tabs>
        <w:ind w:left="8463" w:hanging="360"/>
      </w:pPr>
      <w:rPr>
        <w:rFonts w:hint="default"/>
      </w:rPr>
    </w:lvl>
    <w:lvl w:ilvl="3">
      <w:start w:val="1"/>
      <w:numFmt w:val="decimal"/>
      <w:lvlText w:val="%4."/>
      <w:lvlJc w:val="left"/>
      <w:pPr>
        <w:tabs>
          <w:tab w:val="left" w:pos="9183"/>
        </w:tabs>
        <w:ind w:left="9183" w:hanging="360"/>
      </w:pPr>
      <w:rPr>
        <w:rFonts w:hint="default"/>
      </w:rPr>
    </w:lvl>
    <w:lvl w:ilvl="4">
      <w:start w:val="1"/>
      <w:numFmt w:val="decimal"/>
      <w:lvlText w:val="%5."/>
      <w:lvlJc w:val="left"/>
      <w:pPr>
        <w:tabs>
          <w:tab w:val="left" w:pos="9903"/>
        </w:tabs>
        <w:ind w:left="9903" w:hanging="360"/>
      </w:pPr>
      <w:rPr>
        <w:rFonts w:hint="default"/>
      </w:rPr>
    </w:lvl>
    <w:lvl w:ilvl="5">
      <w:start w:val="1"/>
      <w:numFmt w:val="decimal"/>
      <w:lvlText w:val="%6."/>
      <w:lvlJc w:val="left"/>
      <w:pPr>
        <w:tabs>
          <w:tab w:val="left" w:pos="10623"/>
        </w:tabs>
        <w:ind w:left="10623" w:hanging="360"/>
      </w:pPr>
      <w:rPr>
        <w:rFonts w:hint="default"/>
      </w:rPr>
    </w:lvl>
    <w:lvl w:ilvl="6">
      <w:start w:val="1"/>
      <w:numFmt w:val="decimal"/>
      <w:lvlText w:val="%7."/>
      <w:lvlJc w:val="left"/>
      <w:pPr>
        <w:tabs>
          <w:tab w:val="left" w:pos="11343"/>
        </w:tabs>
        <w:ind w:left="11343" w:hanging="360"/>
      </w:pPr>
      <w:rPr>
        <w:rFonts w:hint="default"/>
      </w:rPr>
    </w:lvl>
    <w:lvl w:ilvl="7">
      <w:start w:val="1"/>
      <w:numFmt w:val="decimal"/>
      <w:lvlText w:val="%8."/>
      <w:lvlJc w:val="left"/>
      <w:pPr>
        <w:tabs>
          <w:tab w:val="left" w:pos="12063"/>
        </w:tabs>
        <w:ind w:left="12063" w:hanging="360"/>
      </w:pPr>
      <w:rPr>
        <w:rFonts w:hint="default"/>
      </w:rPr>
    </w:lvl>
    <w:lvl w:ilvl="8">
      <w:start w:val="1"/>
      <w:numFmt w:val="decimal"/>
      <w:lvlText w:val="%9."/>
      <w:lvlJc w:val="left"/>
      <w:pPr>
        <w:tabs>
          <w:tab w:val="left" w:pos="12783"/>
        </w:tabs>
        <w:ind w:left="12783" w:hanging="360"/>
      </w:pPr>
      <w:rPr>
        <w:rFonts w:hint="default"/>
      </w:rPr>
    </w:lvl>
  </w:abstractNum>
  <w:abstractNum w:abstractNumId="1" w15:restartNumberingAfterBreak="0">
    <w:nsid w:val="58B43D44"/>
    <w:multiLevelType w:val="multilevel"/>
    <w:tmpl w:val="58B43D44"/>
    <w:lvl w:ilvl="0">
      <w:start w:val="1"/>
      <w:numFmt w:val="decimal"/>
      <w:suff w:val="space"/>
      <w:lvlText w:val="%1."/>
      <w:lvlJc w:val="left"/>
      <w:pPr>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94"/>
    <w:rsid w:val="00387FE3"/>
    <w:rsid w:val="005F5E94"/>
    <w:rsid w:val="00832DD8"/>
    <w:rsid w:val="00A53832"/>
    <w:rsid w:val="00CF0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05C2"/>
  <w15:chartTrackingRefBased/>
  <w15:docId w15:val="{CF6D763F-240A-444F-89A9-C650A7D8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E9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F5E94"/>
    <w:pPr>
      <w:keepNext/>
      <w:jc w:val="both"/>
      <w:outlineLvl w:val="0"/>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E94"/>
    <w:rPr>
      <w:rFonts w:ascii=".VnTimeH" w:eastAsia="Times New Roman" w:hAnsi=".VnTimeH" w:cs="Times New Roman"/>
      <w:b/>
      <w:bCs/>
      <w:sz w:val="24"/>
      <w:szCs w:val="24"/>
    </w:rPr>
  </w:style>
  <w:style w:type="character" w:styleId="Hyperlink">
    <w:name w:val="Hyperlink"/>
    <w:uiPriority w:val="99"/>
    <w:unhideWhenUsed/>
    <w:qFormat/>
    <w:rsid w:val="005F5E94"/>
    <w:rPr>
      <w:color w:val="0000FF"/>
      <w:u w:val="single"/>
    </w:rPr>
  </w:style>
  <w:style w:type="paragraph" w:styleId="NormalWeb">
    <w:name w:val="Normal (Web)"/>
    <w:aliases w:val="Char Char Char1"/>
    <w:basedOn w:val="Normal"/>
    <w:link w:val="NormalWebChar"/>
    <w:uiPriority w:val="99"/>
    <w:unhideWhenUsed/>
    <w:qFormat/>
    <w:rsid w:val="005F5E94"/>
    <w:pPr>
      <w:spacing w:before="100" w:beforeAutospacing="1" w:after="100" w:afterAutospacing="1"/>
    </w:pPr>
    <w:rPr>
      <w:sz w:val="24"/>
      <w:szCs w:val="24"/>
      <w:lang w:val="vi-VN" w:eastAsia="vi-VN"/>
    </w:rPr>
  </w:style>
  <w:style w:type="paragraph" w:styleId="Header">
    <w:name w:val="header"/>
    <w:basedOn w:val="Normal"/>
    <w:link w:val="HeaderChar"/>
    <w:uiPriority w:val="99"/>
    <w:rsid w:val="005F5E94"/>
    <w:pPr>
      <w:tabs>
        <w:tab w:val="center" w:pos="4680"/>
        <w:tab w:val="right" w:pos="9360"/>
      </w:tabs>
    </w:pPr>
  </w:style>
  <w:style w:type="character" w:customStyle="1" w:styleId="HeaderChar">
    <w:name w:val="Header Char"/>
    <w:basedOn w:val="DefaultParagraphFont"/>
    <w:link w:val="Header"/>
    <w:uiPriority w:val="99"/>
    <w:rsid w:val="005F5E94"/>
    <w:rPr>
      <w:rFonts w:ascii="Times New Roman" w:eastAsia="Times New Roman" w:hAnsi="Times New Roman" w:cs="Times New Roman"/>
      <w:sz w:val="28"/>
      <w:szCs w:val="28"/>
    </w:rPr>
  </w:style>
  <w:style w:type="character" w:customStyle="1" w:styleId="NormalWebChar">
    <w:name w:val="Normal (Web) Char"/>
    <w:aliases w:val="Char Char Char1 Char"/>
    <w:link w:val="NormalWeb"/>
    <w:uiPriority w:val="99"/>
    <w:rsid w:val="005F5E94"/>
    <w:rPr>
      <w:rFonts w:ascii="Times New Roman" w:eastAsia="Times New Roman" w:hAnsi="Times New Roman" w:cs="Times New Roman"/>
      <w:sz w:val="24"/>
      <w:szCs w:val="24"/>
      <w:lang w:val="vi-VN" w:eastAsia="vi-VN"/>
    </w:rPr>
  </w:style>
  <w:style w:type="character" w:customStyle="1" w:styleId="fontstyle01">
    <w:name w:val="fontstyle01"/>
    <w:qFormat/>
    <w:rsid w:val="005F5E94"/>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2026-03-09T08:26:00Z</dcterms:created>
  <dcterms:modified xsi:type="dcterms:W3CDTF">2026-03-09T08:50:00Z</dcterms:modified>
</cp:coreProperties>
</file>